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ind w:left="4112" w:firstLine="708"/>
        <w:outlineLvl w:val="1"/>
        <w:rPr>
          <w:sz w:val="28"/>
          <w:szCs w:val="28"/>
        </w:rPr>
      </w:pPr>
      <w:r>
        <w:rPr>
          <w:sz w:val="28"/>
          <w:szCs w:val="28"/>
        </w:rPr>
        <w:t>Приложение 6.1</w:t>
      </w:r>
    </w:p>
    <w:p>
      <w:pPr>
        <w:pStyle w:val="Normal"/>
        <w:numPr>
          <w:ilvl w:val="0"/>
          <w:numId w:val="0"/>
        </w:numPr>
        <w:ind w:left="4820" w:hanging="0"/>
        <w:outlineLvl w:val="1"/>
        <w:rPr>
          <w:sz w:val="28"/>
          <w:szCs w:val="28"/>
        </w:rPr>
      </w:pPr>
      <w:r>
        <w:rPr>
          <w:sz w:val="28"/>
          <w:szCs w:val="28"/>
        </w:rPr>
        <w:t xml:space="preserve">к государственной программе </w:t>
      </w:r>
    </w:p>
    <w:p>
      <w:pPr>
        <w:pStyle w:val="Normal"/>
        <w:numPr>
          <w:ilvl w:val="0"/>
          <w:numId w:val="0"/>
        </w:numPr>
        <w:ind w:left="4820" w:hanging="0"/>
        <w:outlineLvl w:val="1"/>
        <w:rPr>
          <w:sz w:val="28"/>
          <w:szCs w:val="28"/>
        </w:rPr>
      </w:pPr>
      <w:r>
        <w:rPr>
          <w:sz w:val="28"/>
          <w:szCs w:val="28"/>
        </w:rPr>
        <w:t>«Развитие культуры и туризма в Брянской области»</w:t>
      </w:r>
    </w:p>
    <w:p>
      <w:pPr>
        <w:pStyle w:val="Normal"/>
        <w:ind w:firstLine="708"/>
        <w:jc w:val="both"/>
        <w:rPr>
          <w:sz w:val="28"/>
          <w:szCs w:val="28"/>
        </w:rPr>
      </w:pPr>
      <w:r>
        <w:rPr>
          <w:sz w:val="28"/>
          <w:szCs w:val="28"/>
        </w:rPr>
      </w:r>
    </w:p>
    <w:p>
      <w:pPr>
        <w:pStyle w:val="Normal"/>
        <w:ind w:firstLine="708"/>
        <w:jc w:val="both"/>
        <w:rPr>
          <w:sz w:val="28"/>
          <w:szCs w:val="28"/>
        </w:rPr>
      </w:pPr>
      <w:r>
        <w:rPr>
          <w:sz w:val="28"/>
          <w:szCs w:val="28"/>
        </w:rPr>
      </w:r>
    </w:p>
    <w:p>
      <w:pPr>
        <w:pStyle w:val="Normal"/>
        <w:ind w:firstLine="708"/>
        <w:jc w:val="both"/>
        <w:rPr>
          <w:sz w:val="28"/>
          <w:szCs w:val="28"/>
        </w:rPr>
      </w:pPr>
      <w:r>
        <w:rPr>
          <w:sz w:val="28"/>
          <w:szCs w:val="28"/>
        </w:rPr>
      </w:r>
    </w:p>
    <w:p>
      <w:pPr>
        <w:pStyle w:val="Normal"/>
        <w:ind w:firstLine="708"/>
        <w:jc w:val="center"/>
        <w:rPr>
          <w:sz w:val="28"/>
          <w:szCs w:val="28"/>
        </w:rPr>
      </w:pPr>
      <w:r>
        <w:rPr>
          <w:sz w:val="28"/>
          <w:szCs w:val="28"/>
        </w:rPr>
        <w:t>Порядок</w:t>
      </w:r>
    </w:p>
    <w:p>
      <w:pPr>
        <w:pStyle w:val="Normal"/>
        <w:ind w:firstLine="708"/>
        <w:jc w:val="center"/>
        <w:rPr>
          <w:sz w:val="28"/>
          <w:szCs w:val="28"/>
        </w:rPr>
      </w:pPr>
      <w:r>
        <w:rPr>
          <w:sz w:val="28"/>
          <w:szCs w:val="28"/>
        </w:rPr>
        <w:t>предоставления субсидий бюджетам муниципальных районов (муниципальных округов, городских округов) на государственную поддержку отрасли культуры с целью реализации мероприятий по модернизации библиотек в части комплектования книжных фондов в рамка</w:t>
      </w:r>
      <w:bookmarkStart w:id="0" w:name="_GoBack"/>
      <w:bookmarkEnd w:id="0"/>
      <w:r>
        <w:rPr>
          <w:sz w:val="28"/>
          <w:szCs w:val="28"/>
        </w:rPr>
        <w:t>х государственной программы «Развитие культуры и туризма в Брянской области»</w:t>
      </w:r>
    </w:p>
    <w:p>
      <w:pPr>
        <w:pStyle w:val="Normal"/>
        <w:ind w:firstLine="708"/>
        <w:jc w:val="center"/>
        <w:rPr>
          <w:sz w:val="28"/>
          <w:szCs w:val="28"/>
        </w:rPr>
      </w:pPr>
      <w:r>
        <w:rPr>
          <w:sz w:val="28"/>
          <w:szCs w:val="28"/>
        </w:rPr>
      </w:r>
    </w:p>
    <w:p>
      <w:pPr>
        <w:pStyle w:val="Normal"/>
        <w:ind w:firstLine="708"/>
        <w:jc w:val="both"/>
        <w:rPr>
          <w:sz w:val="28"/>
          <w:szCs w:val="28"/>
        </w:rPr>
      </w:pPr>
      <w:r>
        <w:rPr>
          <w:sz w:val="28"/>
          <w:szCs w:val="28"/>
        </w:rPr>
        <w:t>1. Настоящий Порядок устанавливает порядок предоставления субсидий из областного бюджета бюджетам муниципальных районов (муниципальных округов, городских округов) на государственную поддержку отрасли культуры с целью реализации мероприятий по модернизации библиотек в части комплектования книжных фондов в рамках государственной программы «Развитие культуры и туризма в Брянской области» (далее – субсидия), определяет цели и условия их предоставления и расходования, критерии отбора муниципальных районов (муниципальных округов, городских округов) для предоставления субсидий, порядок перечисления субсидий, отчетности об использовании субсидии, возврата субсидий, а также показатели результатов и порядок оценки эффективности использования муниципальными районами (муниципальными округами, городскими округами) предоставляемых субсидий.</w:t>
      </w:r>
    </w:p>
    <w:p>
      <w:pPr>
        <w:pStyle w:val="Normal"/>
        <w:ind w:firstLine="708"/>
        <w:jc w:val="both"/>
        <w:rPr>
          <w:sz w:val="28"/>
          <w:szCs w:val="28"/>
        </w:rPr>
      </w:pPr>
      <w:r>
        <w:rPr>
          <w:sz w:val="28"/>
          <w:szCs w:val="28"/>
        </w:rPr>
        <w:t>2. Субсидии предоставляются в целях софинансирования расходных обязательств муниципальных районов (муниципальных округов, городских округов), связанных с реализацией государственной программы «Развитие культуры и туризма в Брянской области» и муниципальных программ, предусматривающих государственную поддержку отрасли культуры на реализацию мероприятия по модернизации библиотек в части комплектования книжных фондов библиотек муниципальных образований Брянской области.</w:t>
      </w:r>
    </w:p>
    <w:p>
      <w:pPr>
        <w:pStyle w:val="Normal"/>
        <w:ind w:firstLine="708"/>
        <w:jc w:val="both"/>
        <w:rPr>
          <w:sz w:val="28"/>
          <w:szCs w:val="28"/>
        </w:rPr>
      </w:pPr>
      <w:r>
        <w:rPr>
          <w:sz w:val="28"/>
          <w:szCs w:val="28"/>
        </w:rPr>
        <w:t>3. Условиями предоставления и расходования субсидий являются:</w:t>
      </w:r>
    </w:p>
    <w:p>
      <w:pPr>
        <w:pStyle w:val="Normal"/>
        <w:ind w:firstLine="708"/>
        <w:jc w:val="both"/>
        <w:rPr>
          <w:sz w:val="28"/>
          <w:szCs w:val="28"/>
        </w:rPr>
      </w:pPr>
      <w:r>
        <w:rPr>
          <w:sz w:val="28"/>
          <w:szCs w:val="28"/>
        </w:rPr>
        <w:t>а) наличие правового акта органа местного самоуправления муниципального района (муниципального округа, городского округа), утверждающего перечень мероприятий, в целях которых предоставляется субсидия;</w:t>
      </w:r>
    </w:p>
    <w:p>
      <w:pPr>
        <w:pStyle w:val="Normal"/>
        <w:ind w:firstLine="708"/>
        <w:jc w:val="both"/>
        <w:rPr>
          <w:sz w:val="28"/>
          <w:szCs w:val="28"/>
        </w:rPr>
      </w:pPr>
      <w:r>
        <w:rPr>
          <w:sz w:val="28"/>
          <w:szCs w:val="28"/>
        </w:rPr>
        <w:t>б) наличие в бюджетах муниципальных районов (муниципальных округов, городских округов)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района (муниципального округа, городского округа) из областного бюджета, утверждаемого нормативным правовым актом Правительства Брянской области.</w:t>
      </w:r>
    </w:p>
    <w:p>
      <w:pPr>
        <w:pStyle w:val="Normal"/>
        <w:ind w:firstLine="708"/>
        <w:jc w:val="both"/>
        <w:rPr>
          <w:sz w:val="28"/>
          <w:szCs w:val="28"/>
        </w:rPr>
      </w:pPr>
      <w:r>
        <w:rPr>
          <w:sz w:val="28"/>
          <w:szCs w:val="28"/>
        </w:rPr>
        <w:t>Размер средств бюджета муниципального района (муниципального округа, городского округа) может быть увеличен в одностороннем порядке со стороны муниципального района (муниципального округа, городского округа), что не влечет обязательств по увеличению объема субсидий.</w:t>
      </w:r>
    </w:p>
    <w:p>
      <w:pPr>
        <w:pStyle w:val="Normal"/>
        <w:ind w:firstLine="708"/>
        <w:jc w:val="both"/>
        <w:rPr>
          <w:sz w:val="28"/>
          <w:szCs w:val="28"/>
        </w:rPr>
      </w:pPr>
      <w:r>
        <w:rPr>
          <w:sz w:val="28"/>
          <w:szCs w:val="28"/>
        </w:rPr>
        <w:t>в) заключение соглашения о предоставлении субсидии бюджету муниципального района (муниципального округа, городского округа)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w:t>
      </w:r>
    </w:p>
    <w:p>
      <w:pPr>
        <w:pStyle w:val="Normal"/>
        <w:ind w:firstLine="705"/>
        <w:jc w:val="both"/>
        <w:rPr>
          <w:sz w:val="28"/>
          <w:szCs w:val="28"/>
        </w:rPr>
      </w:pPr>
      <w:r>
        <w:rPr>
          <w:sz w:val="28"/>
          <w:szCs w:val="28"/>
        </w:rPr>
        <w:t>4. Главным распорядителем средств областного бюджета является департамент культуры Брянской области (далее – департамент).</w:t>
      </w:r>
    </w:p>
    <w:p>
      <w:pPr>
        <w:pStyle w:val="Normal"/>
        <w:ind w:firstLine="708"/>
        <w:jc w:val="both"/>
        <w:rPr>
          <w:sz w:val="28"/>
          <w:szCs w:val="28"/>
        </w:rPr>
      </w:pPr>
      <w:r>
        <w:rPr>
          <w:sz w:val="28"/>
          <w:szCs w:val="28"/>
        </w:rPr>
        <w:t>5. Критериями отбора муниципальных районов (муниципальных округов, городских округов) для предоставления субсидий являются:</w:t>
      </w:r>
    </w:p>
    <w:p>
      <w:pPr>
        <w:pStyle w:val="Normal"/>
        <w:ind w:firstLine="708"/>
        <w:jc w:val="both"/>
        <w:rPr>
          <w:sz w:val="28"/>
          <w:szCs w:val="28"/>
        </w:rPr>
      </w:pPr>
      <w:r>
        <w:rPr>
          <w:sz w:val="28"/>
          <w:szCs w:val="28"/>
        </w:rPr>
        <w:t>наличие общедоступных библиотек, нуждающихся в обеспечении комплектования их фондов;</w:t>
      </w:r>
    </w:p>
    <w:p>
      <w:pPr>
        <w:pStyle w:val="Normal"/>
        <w:ind w:firstLine="708"/>
        <w:jc w:val="both"/>
        <w:rPr>
          <w:sz w:val="28"/>
          <w:szCs w:val="28"/>
        </w:rPr>
      </w:pPr>
      <w:r>
        <w:rPr>
          <w:sz w:val="28"/>
          <w:szCs w:val="28"/>
        </w:rPr>
        <w:t>наличие заявки о потребности, поданной органом местного самоуправления муниципальных районов (муниципальных округов, городских округов).</w:t>
      </w:r>
    </w:p>
    <w:p>
      <w:pPr>
        <w:pStyle w:val="Normal"/>
        <w:ind w:firstLine="708"/>
        <w:jc w:val="both"/>
        <w:rPr>
          <w:sz w:val="28"/>
          <w:szCs w:val="28"/>
        </w:rPr>
      </w:pPr>
      <w:r>
        <w:rPr>
          <w:sz w:val="28"/>
          <w:szCs w:val="28"/>
        </w:rPr>
        <w:t>6. Департамент осуществляет отбор муниципальных районов (муниципальных округов, городских округов) и муниципальных учреждений культуры, находящихся в муниципальной собственности муниципальных районов (муниципальных округов, городских округов) (далее – отбор). Отбор проводится в соответствии с критериями, перечисленными в пункте 5 настоящего Порядка, для предоставления субсидий из областного бюджета.</w:t>
      </w:r>
    </w:p>
    <w:p>
      <w:pPr>
        <w:pStyle w:val="Normal"/>
        <w:ind w:firstLine="708"/>
        <w:jc w:val="both"/>
        <w:rPr>
          <w:sz w:val="28"/>
        </w:rPr>
      </w:pPr>
      <w:r>
        <w:rPr>
          <w:sz w:val="28"/>
          <w:szCs w:val="28"/>
        </w:rPr>
        <w:t>7.</w:t>
      </w:r>
      <w:r>
        <w:rPr>
          <w:sz w:val="28"/>
        </w:rPr>
        <w:t xml:space="preserve"> Распределение субсидий бюджетам муниципальных районов </w:t>
      </w:r>
      <w:r>
        <w:rPr>
          <w:sz w:val="28"/>
          <w:szCs w:val="28"/>
        </w:rPr>
        <w:t>(муниципальных округов, городских округов)</w:t>
      </w:r>
      <w:r>
        <w:rPr>
          <w:sz w:val="28"/>
        </w:rPr>
        <w:t xml:space="preserve"> утверждается в соответствии со статьей 139 Бюджетного кодекса Российской Федерации и статьей 14 Закона Брянской области от 2 ноября 2016 года №89-З «О межбюджетных отношениях в Брянской области».</w:t>
      </w:r>
    </w:p>
    <w:p>
      <w:pPr>
        <w:pStyle w:val="Normal"/>
        <w:ind w:firstLine="720"/>
        <w:jc w:val="both"/>
        <w:rPr>
          <w:sz w:val="28"/>
          <w:szCs w:val="28"/>
        </w:rPr>
      </w:pPr>
      <w:r>
        <w:rPr>
          <w:sz w:val="28"/>
          <w:szCs w:val="28"/>
        </w:rPr>
        <w:t>8. Субсидия предоставляется бюджету муниципального района (муниципального округа, городского округа) в соответствии с соглашением, заключаемым между департаментом и администрациями муниципальных районов (муниципальных округов, городских округов) (далее - соглашение) в государственной интегрированной информационной системе управления общественными финансами «Электронный бюджет», по типовой форме.</w:t>
      </w:r>
    </w:p>
    <w:p>
      <w:pPr>
        <w:pStyle w:val="Normal"/>
        <w:ind w:firstLine="708"/>
        <w:jc w:val="both"/>
        <w:rPr>
          <w:sz w:val="28"/>
          <w:szCs w:val="28"/>
        </w:rPr>
      </w:pPr>
      <w:r>
        <w:rPr>
          <w:sz w:val="28"/>
          <w:szCs w:val="28"/>
        </w:rPr>
        <w:t>9.</w:t>
      </w:r>
      <w:r>
        <w:rPr/>
        <w:t xml:space="preserve"> </w:t>
      </w:r>
      <w:r>
        <w:rPr>
          <w:sz w:val="28"/>
          <w:szCs w:val="28"/>
        </w:rPr>
        <w:t>Перечисление субсидий бюджетам муниципальных районов (муниципальных округов, городских округов) осуществляется в соответствии с кассовым планом выплат главного распорядителя средств областного бюджета, формируемого на основании заявок муниципальных районов (муниципальных округов, городских округов).</w:t>
      </w:r>
    </w:p>
    <w:p>
      <w:pPr>
        <w:pStyle w:val="Normal"/>
        <w:ind w:firstLine="708"/>
        <w:jc w:val="both"/>
        <w:rPr>
          <w:sz w:val="28"/>
          <w:szCs w:val="28"/>
        </w:rPr>
      </w:pPr>
      <w:r>
        <w:rPr>
          <w:sz w:val="28"/>
          <w:szCs w:val="28"/>
        </w:rPr>
        <w:t>10. Перечисление субсидий осуществляется на единый счет бюджета муниципального района (муниципального округа, городского округа) Брянской области, открытый финансовому органу муниципального района (муниципального округа, городского округа) в Управлении Федерального казначейства по Брянской области.</w:t>
      </w:r>
    </w:p>
    <w:p>
      <w:pPr>
        <w:pStyle w:val="Normal"/>
        <w:ind w:firstLine="708"/>
        <w:jc w:val="both"/>
        <w:rPr>
          <w:sz w:val="28"/>
          <w:szCs w:val="28"/>
        </w:rPr>
      </w:pPr>
      <w:r>
        <w:rPr>
          <w:sz w:val="28"/>
          <w:szCs w:val="28"/>
        </w:rPr>
        <w:t>11.</w:t>
      </w:r>
      <w:r>
        <w:rPr/>
        <w:t xml:space="preserve"> </w:t>
      </w:r>
      <w:r>
        <w:rPr>
          <w:sz w:val="28"/>
          <w:szCs w:val="28"/>
        </w:rPr>
        <w:t>Органы местного самоуправления муниципальных районов (муниципальных округов, городских округов) представляют главному распорядителю бюджетных средств отчеты об использовании субсидий в сроки и по форме, предусмотренные соглашениями о предоставлении субсидий бюджетам муниципальных образований, заключенными с администрациями муниципальных районов (муниципальных округов, городских округов), и документы, подтверждающие производимые расходы.</w:t>
      </w:r>
    </w:p>
    <w:p>
      <w:pPr>
        <w:pStyle w:val="Normal"/>
        <w:ind w:firstLine="708"/>
        <w:jc w:val="both"/>
        <w:rPr>
          <w:sz w:val="28"/>
          <w:szCs w:val="28"/>
        </w:rPr>
      </w:pPr>
      <w:r>
        <w:rPr>
          <w:sz w:val="28"/>
          <w:szCs w:val="28"/>
        </w:rPr>
        <w:t>Ответственность за достоверность представляемых главному распорядителю бюджетных средств сведений возлагается на органы местного самоуправления муниципальных районов (муниципальных округов, городских округов).</w:t>
      </w:r>
    </w:p>
    <w:p>
      <w:pPr>
        <w:pStyle w:val="Normal"/>
        <w:ind w:firstLine="708"/>
        <w:jc w:val="both"/>
        <w:rPr>
          <w:sz w:val="28"/>
          <w:szCs w:val="28"/>
        </w:rPr>
      </w:pPr>
      <w:r>
        <w:rPr>
          <w:sz w:val="28"/>
          <w:szCs w:val="28"/>
        </w:rPr>
        <w:t>12.</w:t>
      </w:r>
      <w:r>
        <w:rPr/>
        <w:t xml:space="preserve"> </w:t>
      </w:r>
      <w:r>
        <w:rPr>
          <w:sz w:val="28"/>
          <w:szCs w:val="28"/>
        </w:rPr>
        <w:t>Эффективность использования муниципальными районами (муниципальными округами, городскими округами) предоставляемых субсидий оценивает главный распорядитель бюджетных средств по итогам финансового года на основании отчетов органов местного самоуправления муниципальных районов (муниципальных округов, городских округов) о произведенных расходах и выполнении показателей результатов использования субсидий, установленных соглашением путем сравнения фактически достигнутых значений и установленных соглашением значений показателей результатов.</w:t>
      </w:r>
    </w:p>
    <w:p>
      <w:pPr>
        <w:pStyle w:val="Normal"/>
        <w:ind w:firstLine="708"/>
        <w:jc w:val="both"/>
        <w:rPr>
          <w:sz w:val="28"/>
          <w:szCs w:val="28"/>
        </w:rPr>
      </w:pPr>
      <w:r>
        <w:rPr>
          <w:sz w:val="28"/>
          <w:szCs w:val="28"/>
        </w:rPr>
        <w:t>Показателем результата использования субсидии является поступление в книжные фонды библиотек муниципальных образований Брянской области не менее планового значения, установленного в соглашении, заключенном между департаментом культуры Брянской области и администрацией муниципального образования Брянской области.</w:t>
      </w:r>
    </w:p>
    <w:p>
      <w:pPr>
        <w:pStyle w:val="Normal"/>
        <w:ind w:firstLine="708"/>
        <w:jc w:val="both"/>
        <w:rPr>
          <w:sz w:val="28"/>
          <w:szCs w:val="28"/>
        </w:rPr>
      </w:pPr>
      <w:r>
        <w:rPr>
          <w:sz w:val="28"/>
          <w:szCs w:val="28"/>
        </w:rPr>
        <w:t>13.</w:t>
      </w:r>
      <w:r>
        <w:rPr/>
        <w:t xml:space="preserve"> </w:t>
      </w:r>
      <w:r>
        <w:rPr>
          <w:sz w:val="28"/>
          <w:szCs w:val="28"/>
        </w:rPr>
        <w:t>Не использованные в текущем финансовом году субсидии, предоставленные бюджетам муниципальных районов (муниципальных округов, городских округов) из областного бюджета, подлежат возврату в областной бюджет в порядке, установленном действующим законодательством Российской Федерации.</w:t>
      </w:r>
    </w:p>
    <w:p>
      <w:pPr>
        <w:pStyle w:val="Normal"/>
        <w:ind w:firstLine="708"/>
        <w:jc w:val="both"/>
        <w:rPr>
          <w:sz w:val="28"/>
          <w:szCs w:val="28"/>
        </w:rPr>
      </w:pPr>
      <w:r>
        <w:rPr>
          <w:sz w:val="28"/>
          <w:szCs w:val="28"/>
        </w:rPr>
        <w:t>14.</w:t>
      </w:r>
      <w:r>
        <w:rPr/>
        <w:t xml:space="preserve"> </w:t>
      </w:r>
      <w:r>
        <w:rPr>
          <w:sz w:val="28"/>
          <w:szCs w:val="28"/>
        </w:rPr>
        <w:t>В случае если муниципальным районом (муниципальным округом, городским округом) по состоянию на 31 декабря соответствующего финансового года предоставления субсидии допущены нарушения обязательств по выполнению показателей результатов использования субсидий, предусмотренных соглашением, и в срок до первой даты представления отчетности о достижении значений данных показателей в году, следующем за годом предоставления субсидии, указанные нарушения не устранены, объем средств, подлежащий возврату из бюджета муниципального района (муниципального округа, городского округа) в областной бюджет в срок до 1 июня года, следующего за годом предоставления субсидии, рассчитывается по формуле в соответствии с пунктами 16 – 18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w:t>
      </w:r>
    </w:p>
    <w:p>
      <w:pPr>
        <w:pStyle w:val="Normal"/>
        <w:ind w:firstLine="708"/>
        <w:jc w:val="both"/>
        <w:rPr>
          <w:sz w:val="28"/>
          <w:szCs w:val="28"/>
        </w:rPr>
      </w:pPr>
      <w:r>
        <w:rPr>
          <w:sz w:val="28"/>
          <w:szCs w:val="28"/>
        </w:rPr>
        <w:t>15. Основанием для освобождения муниципальных районов (муниципальных округов, городских округов) от применения мер ответственности, предусмотренных пунктом 15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Style21"/>
        <w:tabs>
          <w:tab w:val="clear" w:pos="708"/>
          <w:tab w:val="left" w:pos="0" w:leader="none"/>
        </w:tabs>
        <w:spacing w:before="0" w:after="0"/>
        <w:jc w:val="both"/>
        <w:rPr>
          <w:sz w:val="28"/>
          <w:szCs w:val="28"/>
          <w:lang w:val="ru-RU"/>
        </w:rPr>
      </w:pPr>
      <w:r>
        <w:rPr>
          <w:sz w:val="28"/>
          <w:szCs w:val="28"/>
          <w:lang w:val="ru-RU"/>
        </w:rPr>
        <w:tab/>
      </w:r>
      <w:r>
        <w:rPr>
          <w:sz w:val="28"/>
          <w:szCs w:val="28"/>
        </w:rPr>
        <w:t xml:space="preserve">Наличие оснований для освобождения муниципальных районов </w:t>
      </w:r>
      <w:r>
        <w:rPr>
          <w:sz w:val="28"/>
          <w:szCs w:val="28"/>
          <w:lang w:val="ru-RU"/>
        </w:rPr>
        <w:t xml:space="preserve">(муниципальных округов, городских округов) </w:t>
      </w:r>
      <w:r>
        <w:rPr>
          <w:sz w:val="28"/>
          <w:szCs w:val="28"/>
        </w:rPr>
        <w:t>от применения мер ответственности устанавливается в порядке, определенном пунктом 20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№362-п</w:t>
      </w:r>
      <w:r>
        <w:rPr>
          <w:sz w:val="28"/>
          <w:szCs w:val="28"/>
          <w:lang w:val="ru-RU"/>
        </w:rPr>
        <w:t>.</w:t>
      </w:r>
    </w:p>
    <w:p>
      <w:pPr>
        <w:pStyle w:val="Normal"/>
        <w:ind w:firstLine="708"/>
        <w:jc w:val="both"/>
        <w:rPr>
          <w:sz w:val="28"/>
          <w:szCs w:val="28"/>
        </w:rPr>
      </w:pPr>
      <w:r>
        <w:rPr>
          <w:sz w:val="28"/>
          <w:szCs w:val="28"/>
        </w:rPr>
        <w:t>16.</w:t>
      </w:r>
      <w:r>
        <w:rPr/>
        <w:t xml:space="preserve"> </w:t>
      </w:r>
      <w:r>
        <w:rPr>
          <w:sz w:val="28"/>
          <w:szCs w:val="28"/>
        </w:rPr>
        <w:t>В случае нецелевого использования субсидии и (или) нарушения муниципальным районом (муниципальным округом, городским округом) условий ее предоставления, в том числе невозврата муниципальным районом (муниципальным округом, городским округом) средств в областной бюджет в соответствии с пунктом 14 настоящего Порядка, к нему применяются бюджетные меры принуждения, предусмотренные бюджетным законодательством Российской Федерации.</w:t>
      </w:r>
    </w:p>
    <w:p>
      <w:pPr>
        <w:pStyle w:val="Style21"/>
        <w:spacing w:before="0" w:after="0"/>
        <w:ind w:firstLine="720"/>
        <w:jc w:val="both"/>
        <w:rPr>
          <w:sz w:val="28"/>
          <w:szCs w:val="28"/>
          <w:lang w:val="ru-RU"/>
        </w:rPr>
      </w:pPr>
      <w:r>
        <w:rPr>
          <w:sz w:val="28"/>
          <w:szCs w:val="28"/>
        </w:rPr>
        <w:t xml:space="preserve">17. Контроль </w:t>
      </w:r>
      <w:r>
        <w:rPr>
          <w:sz w:val="28"/>
          <w:szCs w:val="28"/>
          <w:lang w:val="ru-RU"/>
        </w:rPr>
        <w:t xml:space="preserve">за целевым и эффективным использованием бюджетных средств осуществляют органы </w:t>
      </w:r>
      <w:r>
        <w:rPr>
          <w:sz w:val="28"/>
          <w:szCs w:val="28"/>
        </w:rPr>
        <w:t>местного самоуправления муниципального района (</w:t>
      </w:r>
      <w:r>
        <w:rPr>
          <w:sz w:val="28"/>
          <w:szCs w:val="28"/>
          <w:lang w:val="ru-RU"/>
        </w:rPr>
        <w:t>муниципального</w:t>
      </w:r>
      <w:r>
        <w:rPr>
          <w:sz w:val="28"/>
          <w:szCs w:val="28"/>
        </w:rPr>
        <w:t xml:space="preserve"> округа</w:t>
      </w:r>
      <w:r>
        <w:rPr>
          <w:sz w:val="28"/>
          <w:szCs w:val="28"/>
          <w:lang w:val="ru-RU"/>
        </w:rPr>
        <w:t>, городского округа</w:t>
      </w:r>
      <w:r>
        <w:rPr>
          <w:sz w:val="28"/>
          <w:szCs w:val="28"/>
        </w:rPr>
        <w:t>)  и главный распорядитель бюджетных средств.</w:t>
      </w:r>
    </w:p>
    <w:p>
      <w:pPr>
        <w:pStyle w:val="Style21"/>
        <w:spacing w:before="0" w:after="0"/>
        <w:rPr>
          <w:sz w:val="28"/>
          <w:szCs w:val="28"/>
          <w:lang w:val="ru-RU"/>
        </w:rPr>
      </w:pPr>
      <w:r>
        <w:rPr>
          <w:sz w:val="28"/>
          <w:szCs w:val="28"/>
          <w:lang w:val="ru-RU"/>
        </w:rPr>
      </w:r>
    </w:p>
    <w:p>
      <w:pPr>
        <w:pStyle w:val="Style21"/>
        <w:spacing w:before="0" w:after="0"/>
        <w:jc w:val="center"/>
        <w:rPr>
          <w:sz w:val="28"/>
          <w:szCs w:val="28"/>
        </w:rPr>
      </w:pPr>
      <w:r>
        <w:rPr>
          <w:sz w:val="28"/>
          <w:szCs w:val="28"/>
        </w:rPr>
        <w:t>Методика</w:t>
      </w:r>
    </w:p>
    <w:p>
      <w:pPr>
        <w:pStyle w:val="Normal"/>
        <w:ind w:firstLine="708"/>
        <w:jc w:val="center"/>
        <w:rPr>
          <w:sz w:val="28"/>
          <w:szCs w:val="28"/>
        </w:rPr>
      </w:pPr>
      <w:r>
        <w:rPr>
          <w:sz w:val="28"/>
          <w:szCs w:val="28"/>
        </w:rPr>
        <w:t>распределения субсидий бюджетам муниципальных районов (муниципальных округов, городских округов) на государственную поддержку отрасли культуры с целью реализации мероприятий по модернизации библиотек в части комплектования книжных фондов в рамках государственной программы «Развитие культуры и туризма в Брянской области»</w:t>
      </w:r>
    </w:p>
    <w:p>
      <w:pPr>
        <w:pStyle w:val="Normal"/>
        <w:ind w:firstLine="708"/>
        <w:jc w:val="center"/>
        <w:rPr>
          <w:rFonts w:eastAsia="" w:eastAsiaTheme="minorEastAsia"/>
          <w:sz w:val="28"/>
          <w:szCs w:val="28"/>
        </w:rPr>
      </w:pPr>
      <w:r>
        <w:rPr>
          <w:rFonts w:eastAsia="" w:eastAsiaTheme="minorEastAsia"/>
          <w:sz w:val="28"/>
          <w:szCs w:val="28"/>
        </w:rPr>
      </w:r>
    </w:p>
    <w:p>
      <w:pPr>
        <w:pStyle w:val="Normal"/>
        <w:widowControl w:val="false"/>
        <w:ind w:firstLine="708"/>
        <w:jc w:val="both"/>
        <w:rPr>
          <w:rFonts w:eastAsia="" w:eastAsiaTheme="minorEastAsia"/>
          <w:sz w:val="28"/>
          <w:szCs w:val="28"/>
        </w:rPr>
      </w:pPr>
      <w:r>
        <w:rPr>
          <w:rFonts w:eastAsia="" w:eastAsiaTheme="minorEastAsia"/>
          <w:sz w:val="28"/>
          <w:szCs w:val="28"/>
        </w:rPr>
        <w:t>Размер субсидии бюджету муниципального района (муниципального округа, городского округа) на государственную поддержку отрасли культуры с целью реализации мероприятий по модернизации библиотек в части комплектования книжных фондов в рамках государственной программы «Развитие культуры и туризма в Брянской области» определяется по формуле:</w:t>
      </w:r>
    </w:p>
    <w:p>
      <w:pPr>
        <w:pStyle w:val="Normal"/>
        <w:widowControl w:val="false"/>
        <w:shd w:val="clear" w:color="auto" w:fill="FFFFFF"/>
        <w:spacing w:before="5" w:after="0"/>
        <w:rPr>
          <w:rFonts w:eastAsia="Times New Roman"/>
          <w:color w:val="000000"/>
          <w:spacing w:val="-3"/>
          <w:sz w:val="28"/>
          <w:szCs w:val="28"/>
        </w:rPr>
      </w:pPr>
      <w:r>
        <w:rPr>
          <w:rFonts w:eastAsia="Times New Roman"/>
          <w:color w:val="000000"/>
          <w:spacing w:val="-3"/>
          <w:sz w:val="28"/>
          <w:szCs w:val="28"/>
        </w:rPr>
        <w:tab/>
        <w:tab/>
        <w:tab/>
        <w:tab/>
        <w:tab/>
        <w:tab/>
      </w:r>
    </w:p>
    <w:p>
      <w:pPr>
        <w:pStyle w:val="Normal"/>
        <w:widowControl w:val="false"/>
        <w:shd w:val="clear" w:color="auto" w:fill="FFFFFF"/>
        <w:spacing w:before="5" w:after="0"/>
        <w:ind w:left="3540" w:firstLine="708"/>
        <w:rPr>
          <w:rFonts w:eastAsia="" w:eastAsiaTheme="minorEastAsia"/>
          <w:sz w:val="28"/>
          <w:szCs w:val="28"/>
        </w:rPr>
      </w:pPr>
      <w:r>
        <w:rPr/>
      </w:r>
      <m:oMath xmlns:m="http://schemas.openxmlformats.org/officeDocument/2006/math">
        <m:r>
          <m:rPr>
            <m:lit/>
            <m:nor/>
          </m:rPr>
          <w:rPr>
            <w:rFonts w:ascii="Cambria Math" w:hAnsi="Cambria Math"/>
          </w:rPr>
          <m:t xml:space="preserve">  Ci  </m:t>
        </m:r>
        <m:r>
          <w:rPr>
            <w:rFonts w:ascii="Cambria Math" w:hAnsi="Cambria Math"/>
          </w:rPr>
          <m:t xml:space="preserve">=</m:t>
        </m:r>
        <m:f>
          <m:num>
            <m:r>
              <w:rPr>
                <w:rFonts w:ascii="Cambria Math" w:hAnsi="Cambria Math"/>
              </w:rPr>
              <m:t xml:space="preserve">C</m:t>
            </m:r>
          </m:num>
          <m:den>
            <m:r>
              <w:rPr>
                <w:rFonts w:ascii="Cambria Math" w:hAnsi="Cambria Math"/>
              </w:rPr>
              <m:t xml:space="preserve">Ч</m:t>
            </m:r>
          </m:den>
        </m:f>
        <m:r>
          <w:rPr>
            <w:rFonts w:ascii="Cambria Math" w:hAnsi="Cambria Math"/>
          </w:rPr>
          <m:t xml:space="preserve">×</m:t>
        </m:r>
      </m:oMath>
      <w:r>
        <w:rPr>
          <w:rFonts w:eastAsia="Times New Roman"/>
          <w:color w:val="000000"/>
          <w:sz w:val="28"/>
          <w:szCs w:val="28"/>
        </w:rPr>
        <w:t xml:space="preserve"> </w:t>
      </w:r>
      <w:r>
        <w:rPr>
          <w:rFonts w:eastAsia="Times New Roman"/>
          <w:color w:val="000000"/>
          <w:sz w:val="28"/>
          <w:szCs w:val="28"/>
        </w:rPr>
        <w:t>Ч</w:t>
      </w:r>
      <w:r>
        <w:rPr>
          <w:rFonts w:eastAsia="Times New Roman"/>
          <w:color w:val="000000"/>
          <w:sz w:val="28"/>
          <w:szCs w:val="28"/>
          <w:lang w:val="en-US"/>
        </w:rPr>
        <w:t>i</w:t>
      </w:r>
      <w:r>
        <w:rPr>
          <w:rFonts w:eastAsia="Times New Roman"/>
          <w:color w:val="000000"/>
          <w:sz w:val="28"/>
          <w:szCs w:val="28"/>
        </w:rPr>
        <w:t xml:space="preserve">, </w:t>
      </w:r>
      <w:r>
        <w:rPr>
          <w:rFonts w:eastAsia="Times New Roman"/>
          <w:color w:val="000000"/>
          <w:spacing w:val="-3"/>
          <w:sz w:val="28"/>
          <w:szCs w:val="28"/>
        </w:rPr>
        <w:t>где:</w:t>
      </w:r>
    </w:p>
    <w:p>
      <w:pPr>
        <w:pStyle w:val="Normal"/>
        <w:widowControl w:val="false"/>
        <w:shd w:val="clear" w:color="auto" w:fill="FFFFFF"/>
        <w:spacing w:lineRule="auto" w:line="276" w:before="115" w:after="0"/>
        <w:ind w:firstLine="708"/>
        <w:jc w:val="both"/>
        <w:rPr>
          <w:rFonts w:eastAsia="Times New Roman"/>
          <w:color w:val="000000"/>
          <w:spacing w:val="-1"/>
        </w:rPr>
      </w:pPr>
      <w:r>
        <w:rPr>
          <w:rFonts w:eastAsia="" w:eastAsiaTheme="minorEastAsia"/>
          <w:color w:val="000000"/>
          <w:lang w:val="en-US"/>
        </w:rPr>
        <w:t>Ci</w:t>
      </w:r>
      <w:r>
        <w:rPr>
          <w:rFonts w:eastAsia="Times New Roman"/>
          <w:color w:val="000000"/>
        </w:rPr>
        <w:t xml:space="preserve"> -  </w:t>
      </w:r>
      <w:r>
        <w:rPr>
          <w:rFonts w:eastAsia="" w:eastAsiaTheme="minorEastAsia"/>
          <w:sz w:val="28"/>
          <w:szCs w:val="28"/>
        </w:rPr>
        <w:t>размер субсидии бюджету i-го муниципального района (муниципального округа, городского округа);</w:t>
      </w:r>
    </w:p>
    <w:p>
      <w:pPr>
        <w:pStyle w:val="Normal"/>
        <w:widowControl w:val="false"/>
        <w:shd w:val="clear" w:color="auto" w:fill="FFFFFF"/>
        <w:spacing w:lineRule="auto" w:line="276"/>
        <w:ind w:firstLine="708"/>
        <w:rPr>
          <w:rFonts w:eastAsia="Times New Roman"/>
          <w:color w:val="000000"/>
        </w:rPr>
      </w:pPr>
      <w:r>
        <w:rPr>
          <w:rFonts w:eastAsia="" w:eastAsiaTheme="minorEastAsia"/>
          <w:sz w:val="28"/>
          <w:szCs w:val="28"/>
        </w:rPr>
        <w:t>С - общий объем субсидий, выделяемых бюджетам муниципальных районов (муниципальных округов, городских округов) на цели, установленные пунктом 2 Порядка.</w:t>
      </w:r>
    </w:p>
    <w:p>
      <w:pPr>
        <w:pStyle w:val="Normal"/>
        <w:widowControl w:val="false"/>
        <w:ind w:firstLine="708"/>
        <w:jc w:val="both"/>
        <w:rPr>
          <w:rFonts w:eastAsia="" w:eastAsiaTheme="minorEastAsia"/>
          <w:sz w:val="28"/>
          <w:szCs w:val="28"/>
        </w:rPr>
      </w:pPr>
      <w:r>
        <w:rPr>
          <w:rFonts w:eastAsia="" w:eastAsiaTheme="minorEastAsia"/>
          <w:sz w:val="28"/>
          <w:szCs w:val="28"/>
        </w:rPr>
        <w:t>Чi - численность зарегистрированных пользователей библиотек в i-м муниципальном образовании согласно данным статистической формы отчетности N 6-НК «Сведения об общедоступной (публичной) библиотеке» на 1января года предшествующего получению субсидии;</w:t>
      </w:r>
    </w:p>
    <w:p>
      <w:pPr>
        <w:pStyle w:val="Normal"/>
        <w:widowControl w:val="false"/>
        <w:ind w:firstLine="708"/>
        <w:rPr>
          <w:color w:val="FF0000"/>
          <w:sz w:val="28"/>
          <w:szCs w:val="28"/>
        </w:rPr>
      </w:pPr>
      <w:r>
        <w:rPr>
          <w:rFonts w:eastAsia="" w:eastAsiaTheme="minorEastAsia"/>
          <w:sz w:val="28"/>
          <w:szCs w:val="28"/>
        </w:rPr>
        <w:t>Ч - общая численность зарегистрированных пользователей библиотек в Брянской области согласно данным статистической формы отчетности N 6-НК «Сведения об общедоступной (публичной) библиотеке»</w:t>
      </w:r>
      <w:r>
        <w:rPr/>
        <w:t xml:space="preserve"> </w:t>
      </w:r>
      <w:r>
        <w:rPr>
          <w:rFonts w:eastAsia="" w:eastAsiaTheme="minorEastAsia"/>
          <w:sz w:val="28"/>
          <w:szCs w:val="28"/>
        </w:rPr>
        <w:t>на 1января года предшествующего получению субсидии.</w:t>
      </w:r>
    </w:p>
    <w:sectPr>
      <w:headerReference w:type="default" r:id="rId2"/>
      <w:type w:val="nextPage"/>
      <w:pgSz w:w="11906" w:h="16838"/>
      <w:pgMar w:left="1701" w:right="851" w:header="709" w:top="1134" w:footer="0" w:bottom="1134" w:gutter="0"/>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Arial">
    <w:charset w:val="cc"/>
    <w:family w:val="roman"/>
    <w:pitch w:val="variable"/>
  </w:font>
  <w:font w:name="Liberation Sans">
    <w:altName w:val="Arial"/>
    <w:charset w:val="cc"/>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5</w:t>
    </w:r>
    <w:r>
      <w:rPr/>
      <w:fldChar w:fldCharType="end"/>
    </w:r>
  </w:p>
  <w:p>
    <w:pPr>
      <w:pStyle w:val="Style27"/>
      <w:rPr/>
    </w:pPr>
    <w:r>
      <w:rPr/>
    </w:r>
  </w:p>
</w:hdr>
</file>

<file path=word/settings.xml><?xml version="1.0" encoding="utf-8"?>
<w:settings xmlns:w="http://schemas.openxmlformats.org/wordprocessingml/2006/main">
  <w:zoom w:percent="90"/>
  <w:embedSystemFonts/>
  <w:defaultTabStop w:val="708"/>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357"/>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locked="1"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40464"/>
    <w:pPr>
      <w:widowControl/>
      <w:suppressAutoHyphens w:val="false"/>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1">
    <w:name w:val="Heading 1"/>
    <w:basedOn w:val="Normal"/>
    <w:next w:val="Normal"/>
    <w:link w:val="10"/>
    <w:qFormat/>
    <w:rsid w:val="005473fb"/>
    <w:pPr>
      <w:keepNext w:val="true"/>
      <w:keepLines/>
      <w:spacing w:before="480" w:after="0"/>
      <w:outlineLvl w:val="0"/>
    </w:pPr>
    <w:rPr>
      <w:rFonts w:ascii="Cambria" w:hAnsi="Cambria"/>
      <w:b/>
      <w:bCs/>
      <w:color w:val="365F91"/>
      <w:sz w:val="28"/>
      <w:szCs w:val="28"/>
      <w:lang w:val="x-none"/>
    </w:rPr>
  </w:style>
  <w:style w:type="paragraph" w:styleId="3">
    <w:name w:val="Heading 3"/>
    <w:basedOn w:val="Normal"/>
    <w:next w:val="Normal"/>
    <w:link w:val="30"/>
    <w:qFormat/>
    <w:rsid w:val="005473fb"/>
    <w:pPr>
      <w:keepNext w:val="true"/>
      <w:spacing w:before="240" w:after="60"/>
      <w:outlineLvl w:val="2"/>
    </w:pPr>
    <w:rPr>
      <w:rFonts w:ascii="Cambria" w:hAnsi="Cambria"/>
      <w:b/>
      <w:bCs/>
      <w:sz w:val="26"/>
      <w:szCs w:val="26"/>
      <w:lang w:val="x-none"/>
    </w:rPr>
  </w:style>
  <w:style w:type="paragraph" w:styleId="4">
    <w:name w:val="Heading 4"/>
    <w:basedOn w:val="Normal"/>
    <w:next w:val="Normal"/>
    <w:link w:val="40"/>
    <w:qFormat/>
    <w:rsid w:val="005473fb"/>
    <w:pPr>
      <w:keepNext w:val="true"/>
      <w:spacing w:before="240" w:after="60"/>
      <w:outlineLvl w:val="3"/>
    </w:pPr>
    <w:rPr>
      <w:rFonts w:ascii="Calibri" w:hAnsi="Calibri"/>
      <w:b/>
      <w:bCs/>
      <w:sz w:val="28"/>
      <w:szCs w:val="28"/>
      <w:lang w:val="x-none"/>
    </w:rPr>
  </w:style>
  <w:style w:type="paragraph" w:styleId="5">
    <w:name w:val="Heading 5"/>
    <w:basedOn w:val="Normal"/>
    <w:next w:val="Normal"/>
    <w:link w:val="50"/>
    <w:qFormat/>
    <w:rsid w:val="005473fb"/>
    <w:pPr>
      <w:spacing w:before="240" w:after="60"/>
      <w:outlineLvl w:val="4"/>
    </w:pPr>
    <w:rPr>
      <w:rFonts w:ascii="Calibri" w:hAnsi="Calibri"/>
      <w:b/>
      <w:bCs/>
      <w:i/>
      <w:iCs/>
      <w:sz w:val="26"/>
      <w:szCs w:val="26"/>
      <w:lang w:val="x-none"/>
    </w:rPr>
  </w:style>
  <w:style w:type="paragraph" w:styleId="6">
    <w:name w:val="Heading 6"/>
    <w:basedOn w:val="Normal"/>
    <w:next w:val="Normal"/>
    <w:link w:val="60"/>
    <w:qFormat/>
    <w:rsid w:val="009059b4"/>
    <w:pPr>
      <w:spacing w:before="240" w:after="60"/>
      <w:outlineLvl w:val="5"/>
    </w:pPr>
    <w:rPr>
      <w:rFonts w:ascii="Calibri" w:hAnsi="Calibri"/>
      <w:b/>
      <w:bCs/>
      <w:sz w:val="20"/>
      <w:szCs w:val="20"/>
      <w:lang w:val="x-none"/>
    </w:rPr>
  </w:style>
  <w:style w:type="character" w:styleId="DefaultParagraphFont" w:default="1">
    <w:name w:val="Default Paragraph Font"/>
    <w:uiPriority w:val="1"/>
    <w:semiHidden/>
    <w:unhideWhenUsed/>
    <w:qFormat/>
    <w:rPr/>
  </w:style>
  <w:style w:type="character" w:styleId="11" w:customStyle="1">
    <w:name w:val="Заголовок 1 Знак"/>
    <w:link w:val="1"/>
    <w:qFormat/>
    <w:locked/>
    <w:rsid w:val="005473fb"/>
    <w:rPr>
      <w:rFonts w:ascii="Cambria" w:hAnsi="Cambria" w:cs="Cambria"/>
      <w:b/>
      <w:bCs/>
      <w:color w:val="365F91"/>
      <w:sz w:val="28"/>
      <w:szCs w:val="28"/>
      <w:lang w:val="x-none" w:eastAsia="ru-RU"/>
    </w:rPr>
  </w:style>
  <w:style w:type="character" w:styleId="31" w:customStyle="1">
    <w:name w:val="Заголовок 3 Знак"/>
    <w:link w:val="3"/>
    <w:qFormat/>
    <w:locked/>
    <w:rsid w:val="005473fb"/>
    <w:rPr>
      <w:rFonts w:ascii="Cambria" w:hAnsi="Cambria" w:cs="Cambria"/>
      <w:b/>
      <w:bCs/>
      <w:sz w:val="26"/>
      <w:szCs w:val="26"/>
      <w:lang w:val="x-none" w:eastAsia="ru-RU"/>
    </w:rPr>
  </w:style>
  <w:style w:type="character" w:styleId="41" w:customStyle="1">
    <w:name w:val="Заголовок 4 Знак"/>
    <w:link w:val="4"/>
    <w:qFormat/>
    <w:locked/>
    <w:rsid w:val="005473fb"/>
    <w:rPr>
      <w:rFonts w:ascii="Calibri" w:hAnsi="Calibri" w:cs="Calibri"/>
      <w:b/>
      <w:bCs/>
      <w:sz w:val="28"/>
      <w:szCs w:val="28"/>
      <w:lang w:val="x-none" w:eastAsia="ru-RU"/>
    </w:rPr>
  </w:style>
  <w:style w:type="character" w:styleId="51" w:customStyle="1">
    <w:name w:val="Заголовок 5 Знак"/>
    <w:link w:val="5"/>
    <w:semiHidden/>
    <w:qFormat/>
    <w:locked/>
    <w:rsid w:val="005473fb"/>
    <w:rPr>
      <w:rFonts w:ascii="Calibri" w:hAnsi="Calibri" w:cs="Calibri"/>
      <w:b/>
      <w:bCs/>
      <w:i/>
      <w:iCs/>
      <w:sz w:val="26"/>
      <w:szCs w:val="26"/>
      <w:lang w:val="x-none" w:eastAsia="ru-RU"/>
    </w:rPr>
  </w:style>
  <w:style w:type="character" w:styleId="61" w:customStyle="1">
    <w:name w:val="Заголовок 6 Знак"/>
    <w:link w:val="6"/>
    <w:qFormat/>
    <w:locked/>
    <w:rsid w:val="009059b4"/>
    <w:rPr>
      <w:rFonts w:ascii="Calibri" w:hAnsi="Calibri" w:cs="Calibri"/>
      <w:b/>
      <w:bCs/>
      <w:lang w:val="x-none" w:eastAsia="ru-RU"/>
    </w:rPr>
  </w:style>
  <w:style w:type="character" w:styleId="Style9" w:customStyle="1">
    <w:name w:val="Основной текст Знак"/>
    <w:link w:val="a3"/>
    <w:qFormat/>
    <w:locked/>
    <w:rsid w:val="008f4da3"/>
    <w:rPr>
      <w:rFonts w:ascii="Times New Roman" w:hAnsi="Times New Roman" w:cs="Times New Roman"/>
      <w:sz w:val="24"/>
      <w:szCs w:val="24"/>
      <w:lang w:val="x-none" w:eastAsia="ru-RU"/>
    </w:rPr>
  </w:style>
  <w:style w:type="character" w:styleId="Style10" w:customStyle="1">
    <w:name w:val="Текст выноски Знак"/>
    <w:link w:val="a5"/>
    <w:uiPriority w:val="99"/>
    <w:semiHidden/>
    <w:qFormat/>
    <w:locked/>
    <w:rsid w:val="005473fb"/>
    <w:rPr>
      <w:rFonts w:ascii="Tahoma" w:hAnsi="Tahoma" w:cs="Tahoma"/>
      <w:sz w:val="16"/>
      <w:szCs w:val="16"/>
      <w:lang w:val="x-none" w:eastAsia="ru-RU"/>
    </w:rPr>
  </w:style>
  <w:style w:type="character" w:styleId="Style11" w:customStyle="1">
    <w:name w:val="Основной текст с отступом Знак"/>
    <w:link w:val="a7"/>
    <w:qFormat/>
    <w:locked/>
    <w:rsid w:val="005473fb"/>
    <w:rPr>
      <w:rFonts w:ascii="Times New Roman" w:hAnsi="Times New Roman" w:cs="Times New Roman"/>
      <w:sz w:val="20"/>
      <w:szCs w:val="20"/>
      <w:lang w:val="x-none" w:eastAsia="ru-RU"/>
    </w:rPr>
  </w:style>
  <w:style w:type="character" w:styleId="32" w:customStyle="1">
    <w:name w:val="Основной текст с отступом 3 Знак"/>
    <w:link w:val="31"/>
    <w:qFormat/>
    <w:locked/>
    <w:rsid w:val="005473fb"/>
    <w:rPr>
      <w:rFonts w:ascii="Times New Roman" w:hAnsi="Times New Roman" w:cs="Times New Roman"/>
      <w:sz w:val="16"/>
      <w:szCs w:val="16"/>
      <w:lang w:val="x-none" w:eastAsia="ru-RU"/>
    </w:rPr>
  </w:style>
  <w:style w:type="character" w:styleId="2" w:customStyle="1">
    <w:name w:val="Основной текст 2 Знак"/>
    <w:link w:val="2"/>
    <w:qFormat/>
    <w:locked/>
    <w:rsid w:val="005473fb"/>
    <w:rPr>
      <w:rFonts w:ascii="Times New Roman" w:hAnsi="Times New Roman" w:cs="Times New Roman"/>
      <w:sz w:val="20"/>
      <w:szCs w:val="20"/>
      <w:lang w:val="x-none" w:eastAsia="ru-RU"/>
    </w:rPr>
  </w:style>
  <w:style w:type="character" w:styleId="Linenumber">
    <w:name w:val="line number"/>
    <w:qFormat/>
    <w:rsid w:val="005473fb"/>
    <w:rPr>
      <w:rFonts w:cs="Times New Roman"/>
    </w:rPr>
  </w:style>
  <w:style w:type="character" w:styleId="Style12" w:customStyle="1">
    <w:name w:val="Верхний колонтитул Знак"/>
    <w:link w:val="ac"/>
    <w:uiPriority w:val="99"/>
    <w:qFormat/>
    <w:locked/>
    <w:rsid w:val="005473fb"/>
    <w:rPr>
      <w:rFonts w:ascii="Times New Roman" w:hAnsi="Times New Roman" w:cs="Times New Roman"/>
      <w:sz w:val="24"/>
      <w:szCs w:val="24"/>
      <w:lang w:val="x-none" w:eastAsia="ru-RU"/>
    </w:rPr>
  </w:style>
  <w:style w:type="character" w:styleId="Style13" w:customStyle="1">
    <w:name w:val="Нижний колонтитул Знак"/>
    <w:link w:val="ae"/>
    <w:uiPriority w:val="99"/>
    <w:qFormat/>
    <w:locked/>
    <w:rsid w:val="005473fb"/>
    <w:rPr>
      <w:rFonts w:ascii="Times New Roman" w:hAnsi="Times New Roman" w:cs="Times New Roman"/>
      <w:sz w:val="24"/>
      <w:szCs w:val="24"/>
      <w:lang w:val="x-none" w:eastAsia="ru-RU"/>
    </w:rPr>
  </w:style>
  <w:style w:type="character" w:styleId="Pagenumber">
    <w:name w:val="page number"/>
    <w:qFormat/>
    <w:rsid w:val="005473fb"/>
    <w:rPr>
      <w:rFonts w:cs="Times New Roman"/>
    </w:rPr>
  </w:style>
  <w:style w:type="character" w:styleId="Style14" w:customStyle="1">
    <w:name w:val="Название Знак"/>
    <w:link w:val="af1"/>
    <w:qFormat/>
    <w:locked/>
    <w:rsid w:val="005473fb"/>
    <w:rPr>
      <w:rFonts w:ascii="Times New Roman" w:hAnsi="Times New Roman" w:cs="Times New Roman"/>
      <w:b/>
      <w:bCs/>
      <w:sz w:val="24"/>
      <w:szCs w:val="24"/>
      <w:lang w:val="x-none" w:eastAsia="ru-RU"/>
    </w:rPr>
  </w:style>
  <w:style w:type="character" w:styleId="Style15" w:customStyle="1">
    <w:name w:val="Подзаголовок Знак"/>
    <w:link w:val="af3"/>
    <w:qFormat/>
    <w:locked/>
    <w:rsid w:val="005473fb"/>
    <w:rPr>
      <w:rFonts w:ascii="Times New Roman" w:hAnsi="Times New Roman" w:cs="Times New Roman"/>
      <w:b/>
      <w:bCs/>
      <w:sz w:val="24"/>
      <w:szCs w:val="24"/>
      <w:lang w:val="x-none" w:eastAsia="ru-RU"/>
    </w:rPr>
  </w:style>
  <w:style w:type="character" w:styleId="21" w:customStyle="1">
    <w:name w:val="Основной текст (2)_"/>
    <w:link w:val="22"/>
    <w:qFormat/>
    <w:rsid w:val="000657c5"/>
    <w:rPr>
      <w:rFonts w:ascii="Times New Roman" w:hAnsi="Times New Roman" w:eastAsia="Times New Roman"/>
      <w:sz w:val="28"/>
      <w:szCs w:val="28"/>
      <w:shd w:fill="FFFFFF" w:val="clear"/>
    </w:rPr>
  </w:style>
  <w:style w:type="character" w:styleId="Style16">
    <w:name w:val="Интернет-ссылка"/>
    <w:uiPriority w:val="99"/>
    <w:unhideWhenUsed/>
    <w:rsid w:val="00132b21"/>
    <w:rPr>
      <w:color w:val="0000FF"/>
      <w:u w:val="single"/>
    </w:rPr>
  </w:style>
  <w:style w:type="character" w:styleId="ConsPlusNormal" w:customStyle="1">
    <w:name w:val="ConsPlusNormal Знак"/>
    <w:link w:val="ConsPlusNormal"/>
    <w:qFormat/>
    <w:locked/>
    <w:rsid w:val="004c0fff"/>
    <w:rPr>
      <w:rFonts w:ascii="Arial" w:hAnsi="Arial" w:cs="Arial"/>
    </w:rPr>
  </w:style>
  <w:style w:type="character" w:styleId="Style17" w:customStyle="1">
    <w:name w:val="Текст сноски Знак"/>
    <w:link w:val="af8"/>
    <w:qFormat/>
    <w:rsid w:val="00e74a3c"/>
    <w:rPr>
      <w:rFonts w:ascii="Times New Roman" w:hAnsi="Times New Roman"/>
    </w:rPr>
  </w:style>
  <w:style w:type="character" w:styleId="Style18">
    <w:name w:val="Привязка сноски"/>
    <w:rPr>
      <w:vertAlign w:val="superscript"/>
    </w:rPr>
  </w:style>
  <w:style w:type="character" w:styleId="FootnoteCharacters">
    <w:name w:val="Footnote Characters"/>
    <w:qFormat/>
    <w:rsid w:val="00e74a3c"/>
    <w:rPr>
      <w:vertAlign w:val="superscript"/>
    </w:rPr>
  </w:style>
  <w:style w:type="character" w:styleId="Style19" w:customStyle="1">
    <w:name w:val="Текст примечания Знак"/>
    <w:link w:val="afc"/>
    <w:qFormat/>
    <w:rsid w:val="000804cb"/>
    <w:rPr>
      <w:rFonts w:ascii="Times New Roman" w:hAnsi="Times New Roman"/>
    </w:rPr>
  </w:style>
  <w:style w:type="paragraph" w:styleId="Style20">
    <w:name w:val="Заголовок"/>
    <w:basedOn w:val="Normal"/>
    <w:next w:val="Style21"/>
    <w:qFormat/>
    <w:pPr>
      <w:keepNext w:val="true"/>
      <w:spacing w:before="240" w:after="120"/>
    </w:pPr>
    <w:rPr>
      <w:rFonts w:ascii="Liberation Sans" w:hAnsi="Liberation Sans" w:eastAsia="Microsoft YaHei" w:cs="Arial Unicode MS"/>
      <w:sz w:val="28"/>
      <w:szCs w:val="28"/>
    </w:rPr>
  </w:style>
  <w:style w:type="paragraph" w:styleId="Style21">
    <w:name w:val="Body Text"/>
    <w:basedOn w:val="Normal"/>
    <w:link w:val="a4"/>
    <w:rsid w:val="008f4da3"/>
    <w:pPr>
      <w:spacing w:before="0" w:after="120"/>
    </w:pPr>
    <w:rPr>
      <w:lang w:val="x-none"/>
    </w:rPr>
  </w:style>
  <w:style w:type="paragraph" w:styleId="Style22">
    <w:name w:val="List"/>
    <w:basedOn w:val="Style21"/>
    <w:pPr/>
    <w:rPr>
      <w:rFonts w:cs="Arial Unicode MS"/>
    </w:rPr>
  </w:style>
  <w:style w:type="paragraph" w:styleId="Style23">
    <w:name w:val="Caption"/>
    <w:basedOn w:val="Normal"/>
    <w:qFormat/>
    <w:pPr>
      <w:suppressLineNumbers/>
      <w:spacing w:before="120" w:after="120"/>
    </w:pPr>
    <w:rPr>
      <w:rFonts w:cs="Arial Unicode MS"/>
      <w:i/>
      <w:iCs/>
      <w:sz w:val="24"/>
      <w:szCs w:val="24"/>
    </w:rPr>
  </w:style>
  <w:style w:type="paragraph" w:styleId="Style24">
    <w:name w:val="Указатель"/>
    <w:basedOn w:val="Normal"/>
    <w:qFormat/>
    <w:pPr>
      <w:suppressLineNumbers/>
    </w:pPr>
    <w:rPr>
      <w:rFonts w:cs="Arial Unicode MS"/>
    </w:rPr>
  </w:style>
  <w:style w:type="paragraph" w:styleId="BalloonText">
    <w:name w:val="Balloon Text"/>
    <w:basedOn w:val="Normal"/>
    <w:link w:val="a6"/>
    <w:uiPriority w:val="99"/>
    <w:semiHidden/>
    <w:qFormat/>
    <w:rsid w:val="005473fb"/>
    <w:pPr/>
    <w:rPr>
      <w:rFonts w:ascii="Tahoma" w:hAnsi="Tahoma"/>
      <w:sz w:val="16"/>
      <w:szCs w:val="16"/>
      <w:lang w:val="x-none"/>
    </w:rPr>
  </w:style>
  <w:style w:type="paragraph" w:styleId="12" w:customStyle="1">
    <w:name w:val="Абзац списка1"/>
    <w:basedOn w:val="Normal"/>
    <w:qFormat/>
    <w:rsid w:val="005473fb"/>
    <w:pPr>
      <w:ind w:left="708" w:hanging="0"/>
    </w:pPr>
    <w:rPr/>
  </w:style>
  <w:style w:type="paragraph" w:styleId="Style25">
    <w:name w:val="Body Text Indent"/>
    <w:basedOn w:val="Normal"/>
    <w:link w:val="a8"/>
    <w:rsid w:val="005473fb"/>
    <w:pPr>
      <w:ind w:firstLine="567"/>
      <w:jc w:val="both"/>
    </w:pPr>
    <w:rPr>
      <w:sz w:val="20"/>
      <w:szCs w:val="20"/>
      <w:lang w:val="x-none"/>
    </w:rPr>
  </w:style>
  <w:style w:type="paragraph" w:styleId="BodyTextIndent3">
    <w:name w:val="Body Text Indent 3"/>
    <w:basedOn w:val="Normal"/>
    <w:link w:val="32"/>
    <w:qFormat/>
    <w:rsid w:val="005473fb"/>
    <w:pPr>
      <w:spacing w:before="0" w:after="120"/>
      <w:ind w:left="283" w:hanging="0"/>
    </w:pPr>
    <w:rPr>
      <w:sz w:val="16"/>
      <w:szCs w:val="16"/>
      <w:lang w:val="x-none"/>
    </w:rPr>
  </w:style>
  <w:style w:type="paragraph" w:styleId="BodyText2">
    <w:name w:val="Body Text 2"/>
    <w:basedOn w:val="Normal"/>
    <w:link w:val="20"/>
    <w:qFormat/>
    <w:rsid w:val="005473fb"/>
    <w:pPr>
      <w:spacing w:lineRule="auto" w:line="480" w:before="0" w:after="120"/>
    </w:pPr>
    <w:rPr>
      <w:sz w:val="20"/>
      <w:szCs w:val="20"/>
      <w:lang w:val="x-none"/>
    </w:rPr>
  </w:style>
  <w:style w:type="paragraph" w:styleId="Caption">
    <w:name w:val="caption"/>
    <w:basedOn w:val="Normal"/>
    <w:next w:val="Normal"/>
    <w:qFormat/>
    <w:rsid w:val="005473fb"/>
    <w:pPr>
      <w:spacing w:before="120" w:after="120"/>
    </w:pPr>
    <w:rPr>
      <w:b/>
      <w:bCs/>
      <w:sz w:val="20"/>
      <w:szCs w:val="20"/>
    </w:rPr>
  </w:style>
  <w:style w:type="paragraph" w:styleId="Style26">
    <w:name w:val="Верхний и нижний колонтитулы"/>
    <w:basedOn w:val="Normal"/>
    <w:qFormat/>
    <w:pPr/>
    <w:rPr/>
  </w:style>
  <w:style w:type="paragraph" w:styleId="Style27">
    <w:name w:val="Header"/>
    <w:basedOn w:val="Normal"/>
    <w:link w:val="ad"/>
    <w:uiPriority w:val="99"/>
    <w:rsid w:val="005473fb"/>
    <w:pPr>
      <w:tabs>
        <w:tab w:val="clear" w:pos="708"/>
        <w:tab w:val="center" w:pos="4677" w:leader="none"/>
        <w:tab w:val="right" w:pos="9355" w:leader="none"/>
      </w:tabs>
    </w:pPr>
    <w:rPr>
      <w:lang w:val="x-none"/>
    </w:rPr>
  </w:style>
  <w:style w:type="paragraph" w:styleId="Style28">
    <w:name w:val="Footer"/>
    <w:basedOn w:val="Normal"/>
    <w:link w:val="af"/>
    <w:uiPriority w:val="99"/>
    <w:rsid w:val="005473fb"/>
    <w:pPr>
      <w:tabs>
        <w:tab w:val="clear" w:pos="708"/>
        <w:tab w:val="center" w:pos="4677" w:leader="none"/>
        <w:tab w:val="right" w:pos="9355" w:leader="none"/>
      </w:tabs>
    </w:pPr>
    <w:rPr>
      <w:lang w:val="x-none"/>
    </w:rPr>
  </w:style>
  <w:style w:type="paragraph" w:styleId="Style29">
    <w:name w:val="Title"/>
    <w:basedOn w:val="Normal"/>
    <w:link w:val="af2"/>
    <w:qFormat/>
    <w:rsid w:val="005473fb"/>
    <w:pPr>
      <w:jc w:val="center"/>
    </w:pPr>
    <w:rPr>
      <w:b/>
      <w:bCs/>
      <w:lang w:val="x-none"/>
    </w:rPr>
  </w:style>
  <w:style w:type="paragraph" w:styleId="Style30">
    <w:name w:val="Subtitle"/>
    <w:basedOn w:val="Normal"/>
    <w:link w:val="af4"/>
    <w:qFormat/>
    <w:rsid w:val="005473fb"/>
    <w:pPr>
      <w:jc w:val="center"/>
    </w:pPr>
    <w:rPr>
      <w:b/>
      <w:bCs/>
      <w:lang w:val="x-none"/>
    </w:rPr>
  </w:style>
  <w:style w:type="paragraph" w:styleId="ConsPlusNormal1" w:customStyle="1">
    <w:name w:val="ConsPlusNormal"/>
    <w:link w:val="ConsPlusNormal0"/>
    <w:qFormat/>
    <w:rsid w:val="00213a89"/>
    <w:pPr>
      <w:widowControl w:val="false"/>
      <w:bidi w:val="0"/>
      <w:spacing w:before="0" w:after="0"/>
      <w:ind w:firstLine="720"/>
      <w:jc w:val="left"/>
    </w:pPr>
    <w:rPr>
      <w:rFonts w:ascii="Arial" w:hAnsi="Arial" w:cs="Arial" w:eastAsia="Calibri"/>
      <w:color w:val="auto"/>
      <w:kern w:val="0"/>
      <w:sz w:val="20"/>
      <w:szCs w:val="20"/>
      <w:lang w:val="ru-RU" w:eastAsia="ru-RU" w:bidi="ar-SA"/>
    </w:rPr>
  </w:style>
  <w:style w:type="paragraph" w:styleId="NormalWeb">
    <w:name w:val="Normal (Web)"/>
    <w:basedOn w:val="Normal"/>
    <w:qFormat/>
    <w:rsid w:val="00a62c9b"/>
    <w:pPr>
      <w:spacing w:beforeAutospacing="1" w:afterAutospacing="1"/>
      <w:jc w:val="both"/>
    </w:pPr>
    <w:rPr/>
  </w:style>
  <w:style w:type="paragraph" w:styleId="22" w:customStyle="1">
    <w:name w:val="Основной текст (2)"/>
    <w:basedOn w:val="Normal"/>
    <w:link w:val="21"/>
    <w:qFormat/>
    <w:rsid w:val="000657c5"/>
    <w:pPr>
      <w:widowControl w:val="false"/>
      <w:shd w:val="clear" w:color="auto" w:fill="FFFFFF"/>
      <w:spacing w:lineRule="atLeast" w:line="0" w:before="360" w:after="240"/>
      <w:ind w:hanging="1020"/>
      <w:jc w:val="center"/>
    </w:pPr>
    <w:rPr>
      <w:rFonts w:eastAsia="Times New Roman"/>
      <w:sz w:val="28"/>
      <w:szCs w:val="28"/>
    </w:rPr>
  </w:style>
  <w:style w:type="paragraph" w:styleId="ListParagraph">
    <w:name w:val="List Paragraph"/>
    <w:basedOn w:val="Normal"/>
    <w:uiPriority w:val="34"/>
    <w:qFormat/>
    <w:rsid w:val="00ac50cf"/>
    <w:pPr>
      <w:spacing w:lineRule="auto" w:line="276" w:before="0" w:after="200"/>
      <w:ind w:left="720" w:hanging="0"/>
      <w:contextualSpacing/>
    </w:pPr>
    <w:rPr>
      <w:rFonts w:ascii="Calibri" w:hAnsi="Calibri"/>
      <w:sz w:val="22"/>
      <w:szCs w:val="22"/>
      <w:lang w:eastAsia="en-US"/>
    </w:rPr>
  </w:style>
  <w:style w:type="paragraph" w:styleId="Style31">
    <w:name w:val="Footnote Text"/>
    <w:basedOn w:val="Normal"/>
    <w:link w:val="af9"/>
    <w:rsid w:val="00e74a3c"/>
    <w:pPr/>
    <w:rPr>
      <w:sz w:val="20"/>
      <w:szCs w:val="20"/>
    </w:rPr>
  </w:style>
  <w:style w:type="paragraph" w:styleId="NoSpacing">
    <w:name w:val="No Spacing"/>
    <w:uiPriority w:val="1"/>
    <w:qFormat/>
    <w:rsid w:val="00fd6db4"/>
    <w:pPr>
      <w:widowControl/>
      <w:bidi w:val="0"/>
      <w:spacing w:before="0" w:after="0"/>
      <w:jc w:val="left"/>
    </w:pPr>
    <w:rPr>
      <w:rFonts w:ascii="Calibri" w:hAnsi="Calibri" w:eastAsia="Calibri" w:cs="Times New Roman"/>
      <w:color w:val="auto"/>
      <w:kern w:val="0"/>
      <w:sz w:val="22"/>
      <w:szCs w:val="22"/>
      <w:lang w:eastAsia="en-US" w:val="ru-RU" w:bidi="ar-SA"/>
    </w:rPr>
  </w:style>
  <w:style w:type="paragraph" w:styleId="Annotationtext">
    <w:name w:val="annotation text"/>
    <w:basedOn w:val="Normal"/>
    <w:link w:val="afd"/>
    <w:qFormat/>
    <w:rsid w:val="000804cb"/>
    <w:pPr/>
    <w:rPr>
      <w:sz w:val="20"/>
      <w:szCs w:val="20"/>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uiPriority w:val="39"/>
    <w:rsid w:val="005473f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7CDA8-1E75-432A-BFC7-24E88A314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Application>LibreOffice/7.0.1.2$Windows_X86_64 LibreOffice_project/7cbcfc562f6eb6708b5ff7d7397325de9e764452</Application>
  <Pages>2</Pages>
  <Words>1188</Words>
  <Characters>9580</Characters>
  <CharactersWithSpaces>10743</CharactersWithSpaces>
  <Paragraphs>41</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2021-10-06T13:59:00Z</dcterms:created>
  <dc:creator>Uprav</dc:creator>
  <dc:description/>
  <dc:language>ru-RU</dc:language>
  <cp:lastModifiedBy>Users</cp:lastModifiedBy>
  <cp:lastPrinted>2021-10-06T14:01:00Z</cp:lastPrinted>
  <dcterms:modified xsi:type="dcterms:W3CDTF">2021-10-15T11:49:00Z</dcterms:modified>
  <cp:revision>24</cp:revision>
  <dc:subject/>
  <dc:title>Приложение 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